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kern w:val="2"/>
          <w:sz w:val="44"/>
          <w:szCs w:val="44"/>
        </w:rPr>
      </w:pPr>
      <w:r>
        <w:rPr>
          <w:rFonts w:hint="eastAsia" w:ascii="宋体" w:hAnsi="宋体" w:eastAsia="宋体" w:cs="宋体"/>
          <w:b/>
          <w:bCs/>
          <w:color w:val="auto"/>
          <w:kern w:val="2"/>
          <w:sz w:val="44"/>
          <w:szCs w:val="44"/>
        </w:rPr>
        <w:t>评分</w:t>
      </w:r>
      <w:r>
        <w:rPr>
          <w:rFonts w:hint="eastAsia" w:ascii="宋体" w:hAnsi="宋体" w:eastAsia="宋体" w:cs="宋体"/>
          <w:b/>
          <w:bCs/>
          <w:color w:val="auto"/>
          <w:kern w:val="2"/>
          <w:sz w:val="44"/>
          <w:szCs w:val="44"/>
          <w:lang w:val="en-US" w:eastAsia="zh-CN"/>
        </w:rPr>
        <w:t>标准</w:t>
      </w:r>
      <w:bookmarkStart w:id="0" w:name="_GoBack"/>
      <w:bookmarkEnd w:id="0"/>
      <w:r>
        <w:rPr>
          <w:rFonts w:hint="eastAsia" w:ascii="宋体" w:hAnsi="宋体" w:eastAsia="宋体" w:cs="宋体"/>
          <w:b/>
          <w:bCs/>
          <w:color w:val="auto"/>
          <w:kern w:val="2"/>
          <w:sz w:val="44"/>
          <w:szCs w:val="44"/>
        </w:rPr>
        <w:t>（满分100分）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788"/>
        <w:gridCol w:w="4742"/>
        <w:gridCol w:w="75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21"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caps w:val="0"/>
                <w:color w:val="auto"/>
                <w:spacing w:val="0"/>
                <w:kern w:val="2"/>
                <w:sz w:val="24"/>
                <w:szCs w:val="24"/>
                <w:shd w:val="clear" w:color="auto" w:fill="FFFFFF"/>
                <w:lang w:eastAsia="zh-CN"/>
              </w:rPr>
            </w:pPr>
            <w:r>
              <w:rPr>
                <w:rFonts w:hint="eastAsia" w:ascii="宋体" w:hAnsi="宋体" w:eastAsia="宋体" w:cs="宋体"/>
                <w:b/>
                <w:bCs/>
                <w:i w:val="0"/>
                <w:iCs w:val="0"/>
                <w:caps w:val="0"/>
                <w:color w:val="auto"/>
                <w:spacing w:val="0"/>
                <w:kern w:val="2"/>
                <w:sz w:val="24"/>
                <w:szCs w:val="24"/>
                <w:shd w:val="clear" w:color="auto" w:fill="FFFFFF"/>
                <w:lang w:eastAsia="zh-CN"/>
              </w:rPr>
              <w:t>内容</w:t>
            </w: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caps w:val="0"/>
                <w:color w:val="auto"/>
                <w:spacing w:val="0"/>
                <w:kern w:val="2"/>
                <w:sz w:val="24"/>
                <w:szCs w:val="24"/>
                <w:shd w:val="clear" w:color="auto" w:fill="FFFFFF"/>
                <w:lang w:eastAsia="zh-CN"/>
              </w:rPr>
            </w:pPr>
            <w:r>
              <w:rPr>
                <w:rFonts w:hint="eastAsia" w:ascii="宋体" w:hAnsi="宋体" w:eastAsia="宋体" w:cs="宋体"/>
                <w:b/>
                <w:bCs/>
                <w:i w:val="0"/>
                <w:iCs w:val="0"/>
                <w:caps w:val="0"/>
                <w:color w:val="auto"/>
                <w:spacing w:val="0"/>
                <w:kern w:val="2"/>
                <w:sz w:val="24"/>
                <w:szCs w:val="24"/>
                <w:shd w:val="clear" w:color="auto" w:fill="FFFFFF"/>
                <w:lang w:eastAsia="zh-CN"/>
              </w:rPr>
              <w:t>项目</w:t>
            </w:r>
          </w:p>
        </w:tc>
        <w:tc>
          <w:tcPr>
            <w:tcW w:w="4742"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caps w:val="0"/>
                <w:color w:val="auto"/>
                <w:spacing w:val="0"/>
                <w:kern w:val="2"/>
                <w:sz w:val="24"/>
                <w:szCs w:val="24"/>
                <w:shd w:val="clear" w:color="auto" w:fill="FFFFFF"/>
                <w:lang w:eastAsia="zh-CN"/>
              </w:rPr>
            </w:pPr>
            <w:r>
              <w:rPr>
                <w:rFonts w:hint="eastAsia" w:ascii="宋体" w:hAnsi="宋体" w:eastAsia="宋体" w:cs="宋体"/>
                <w:b/>
                <w:bCs/>
                <w:i w:val="0"/>
                <w:iCs w:val="0"/>
                <w:caps w:val="0"/>
                <w:color w:val="auto"/>
                <w:spacing w:val="0"/>
                <w:kern w:val="2"/>
                <w:sz w:val="24"/>
                <w:szCs w:val="24"/>
                <w:shd w:val="clear" w:color="auto" w:fill="FFFFFF"/>
                <w:lang w:eastAsia="zh-CN"/>
              </w:rPr>
              <w:t>评分标准</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caps w:val="0"/>
                <w:color w:val="auto"/>
                <w:spacing w:val="0"/>
                <w:kern w:val="2"/>
                <w:sz w:val="24"/>
                <w:szCs w:val="24"/>
                <w:shd w:val="clear" w:color="auto" w:fill="FFFFFF"/>
                <w:lang w:eastAsia="zh-CN"/>
              </w:rPr>
            </w:pPr>
            <w:r>
              <w:rPr>
                <w:rFonts w:hint="eastAsia" w:ascii="宋体" w:hAnsi="宋体" w:eastAsia="宋体" w:cs="宋体"/>
                <w:b/>
                <w:bCs/>
                <w:i w:val="0"/>
                <w:iCs w:val="0"/>
                <w:caps w:val="0"/>
                <w:color w:val="auto"/>
                <w:spacing w:val="0"/>
                <w:kern w:val="2"/>
                <w:sz w:val="24"/>
                <w:szCs w:val="24"/>
                <w:shd w:val="clear" w:color="auto" w:fill="FFFFFF"/>
                <w:lang w:eastAsia="zh-CN"/>
              </w:rPr>
              <w:t>分值</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i w:val="0"/>
                <w:iCs w:val="0"/>
                <w:caps w:val="0"/>
                <w:color w:val="auto"/>
                <w:spacing w:val="0"/>
                <w:kern w:val="2"/>
                <w:sz w:val="24"/>
                <w:szCs w:val="24"/>
                <w:shd w:val="clear" w:color="auto" w:fill="FFFFFF"/>
                <w:lang w:eastAsia="zh-CN"/>
              </w:rPr>
            </w:pPr>
            <w:r>
              <w:rPr>
                <w:rFonts w:hint="eastAsia" w:ascii="宋体" w:hAnsi="宋体" w:eastAsia="宋体" w:cs="宋体"/>
                <w:b/>
                <w:bCs/>
                <w:i w:val="0"/>
                <w:iCs w:val="0"/>
                <w:caps w:val="0"/>
                <w:color w:val="auto"/>
                <w:spacing w:val="0"/>
                <w:kern w:val="2"/>
                <w:sz w:val="24"/>
                <w:szCs w:val="24"/>
                <w:shd w:val="clear" w:color="auto" w:fill="FFFFFF"/>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221"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default"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eastAsia="zh-CN"/>
              </w:rPr>
              <w:t>价格</w:t>
            </w:r>
            <w:r>
              <w:rPr>
                <w:rFonts w:hint="eastAsia" w:ascii="宋体" w:hAnsi="宋体" w:eastAsia="宋体" w:cs="宋体"/>
                <w:i w:val="0"/>
                <w:iCs w:val="0"/>
                <w:caps w:val="0"/>
                <w:color w:val="auto"/>
                <w:spacing w:val="0"/>
                <w:kern w:val="2"/>
                <w:sz w:val="24"/>
                <w:szCs w:val="24"/>
                <w:shd w:val="clear" w:color="auto" w:fill="FFFFFF"/>
                <w:lang w:val="en-US" w:eastAsia="zh-CN"/>
              </w:rPr>
              <w:t>部分</w:t>
            </w: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eastAsia="zh-CN"/>
              </w:rPr>
              <w:t>报价</w:t>
            </w:r>
            <w:r>
              <w:rPr>
                <w:rFonts w:hint="eastAsia" w:ascii="宋体" w:hAnsi="宋体" w:eastAsia="宋体" w:cs="宋体"/>
                <w:i w:val="0"/>
                <w:iCs w:val="0"/>
                <w:caps w:val="0"/>
                <w:color w:val="auto"/>
                <w:spacing w:val="0"/>
                <w:kern w:val="2"/>
                <w:sz w:val="24"/>
                <w:szCs w:val="24"/>
                <w:shd w:val="clear" w:color="auto" w:fill="FFFFFF"/>
                <w:lang w:val="en-US" w:eastAsia="zh-CN"/>
              </w:rPr>
              <w:t>（40分）</w:t>
            </w:r>
          </w:p>
        </w:tc>
        <w:tc>
          <w:tcPr>
            <w:tcW w:w="4742"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r>
              <w:rPr>
                <w:rFonts w:hint="eastAsia" w:ascii="宋体" w:hAnsi="宋体" w:eastAsia="宋体" w:cs="宋体"/>
                <w:i w:val="0"/>
                <w:iCs w:val="0"/>
                <w:caps w:val="0"/>
                <w:color w:val="auto"/>
                <w:spacing w:val="0"/>
                <w:kern w:val="2"/>
                <w:sz w:val="24"/>
                <w:szCs w:val="24"/>
                <w:shd w:val="clear" w:color="auto" w:fill="FFFFFF"/>
                <w:lang w:eastAsia="zh-CN"/>
              </w:rPr>
              <w:t>投标报价得分＝（评标基准价/投标报价）×价格分值【注：满足</w:t>
            </w:r>
            <w:r>
              <w:rPr>
                <w:rFonts w:hint="eastAsia" w:ascii="宋体" w:hAnsi="宋体" w:eastAsia="宋体" w:cs="宋体"/>
                <w:i w:val="0"/>
                <w:iCs w:val="0"/>
                <w:caps w:val="0"/>
                <w:color w:val="auto"/>
                <w:spacing w:val="0"/>
                <w:kern w:val="2"/>
                <w:sz w:val="24"/>
                <w:szCs w:val="24"/>
                <w:shd w:val="clear" w:color="auto" w:fill="FFFFFF"/>
                <w:lang w:val="en-US" w:eastAsia="zh-CN"/>
              </w:rPr>
              <w:t>公告</w:t>
            </w:r>
            <w:r>
              <w:rPr>
                <w:rFonts w:hint="eastAsia" w:ascii="宋体" w:hAnsi="宋体" w:eastAsia="宋体" w:cs="宋体"/>
                <w:i w:val="0"/>
                <w:iCs w:val="0"/>
                <w:caps w:val="0"/>
                <w:color w:val="auto"/>
                <w:spacing w:val="0"/>
                <w:kern w:val="2"/>
                <w:sz w:val="24"/>
                <w:szCs w:val="24"/>
                <w:shd w:val="clear" w:color="auto" w:fill="FFFFFF"/>
                <w:lang w:eastAsia="zh-CN"/>
              </w:rPr>
              <w:t>要求且投标价格最低的投标报价为评标基准价。】最低报价不是中标的唯一依据。因落实政府采购政策进行价格调整的，以调整后的价格计算评标基准价和投标报价。</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default"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40</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221" w:type="dxa"/>
            <w:vMerge w:val="restart"/>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商务及技术部分（</w:t>
            </w:r>
            <w:r>
              <w:rPr>
                <w:rFonts w:hint="default" w:ascii="宋体" w:hAnsi="宋体" w:eastAsia="宋体" w:cs="宋体"/>
                <w:i w:val="0"/>
                <w:iCs w:val="0"/>
                <w:caps w:val="0"/>
                <w:color w:val="auto"/>
                <w:spacing w:val="0"/>
                <w:kern w:val="2"/>
                <w:sz w:val="24"/>
                <w:szCs w:val="24"/>
                <w:shd w:val="clear" w:color="auto" w:fill="FFFFFF"/>
                <w:lang w:val="en-US" w:eastAsia="zh-CN"/>
              </w:rPr>
              <w:t>6</w:t>
            </w:r>
            <w:r>
              <w:rPr>
                <w:rFonts w:hint="eastAsia" w:ascii="宋体" w:hAnsi="宋体" w:eastAsia="宋体" w:cs="宋体"/>
                <w:i w:val="0"/>
                <w:iCs w:val="0"/>
                <w:caps w:val="0"/>
                <w:color w:val="auto"/>
                <w:spacing w:val="0"/>
                <w:kern w:val="2"/>
                <w:sz w:val="24"/>
                <w:szCs w:val="24"/>
                <w:shd w:val="clear" w:color="auto" w:fill="FFFFFF"/>
                <w:lang w:val="en-US" w:eastAsia="zh-CN"/>
              </w:rPr>
              <w:t>0分）</w:t>
            </w: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类似业绩（10分）</w:t>
            </w:r>
          </w:p>
        </w:tc>
        <w:tc>
          <w:tcPr>
            <w:tcW w:w="474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根据投标人提供2021年1月1日（以合同签订时间为准）至今承接过的类似工程项目业绩，每提供一项业绩得2分，本项最高得10分。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b/>
                <w:bCs/>
                <w:color w:val="auto"/>
                <w:kern w:val="2"/>
                <w:sz w:val="24"/>
                <w:szCs w:val="24"/>
                <w:lang w:val="en-US" w:eastAsia="zh-CN"/>
              </w:rPr>
              <w:t>注：提供合同关键页的复印件并加盖单位公章，无提供不得分。</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default"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10</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221"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团队人员（6分）</w:t>
            </w:r>
          </w:p>
        </w:tc>
        <w:tc>
          <w:tcPr>
            <w:tcW w:w="474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投标人拟投入本项目的人员中具有工程类工程师（或以上）职称的，每提供1人得2分，本项最高得6分。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b/>
                <w:bCs/>
                <w:color w:val="auto"/>
                <w:kern w:val="2"/>
                <w:sz w:val="24"/>
                <w:szCs w:val="24"/>
                <w:lang w:val="en-US" w:eastAsia="zh-CN"/>
              </w:rPr>
              <w:t>注：提供职称证、投标截止时间近6个月内任意1个月在投标单位的社保证明复印件并加盖单位公章，无提供不得分。</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6</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21"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rPr>
            </w:pP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信誉（5分）</w:t>
            </w:r>
          </w:p>
        </w:tc>
        <w:tc>
          <w:tcPr>
            <w:tcW w:w="474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color w:val="auto"/>
                <w:kern w:val="2"/>
                <w:sz w:val="24"/>
                <w:szCs w:val="24"/>
                <w:lang w:val="en-US" w:eastAsia="zh-CN"/>
              </w:rPr>
              <w:t>以“信用中国”（www.creditchina.gov.cn）网站为查询渠道：对列入行政处罚或失信惩戒的投标人每一条记录扣1分，最高扣5分。如查询结果显示没有相关记录，视为没有上述非重大违法违规记录，则不扣分。以评审时在上述网站查询结果为准。</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default"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5</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21"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rPr>
            </w:pP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三大体系认证（9分）</w:t>
            </w:r>
          </w:p>
        </w:tc>
        <w:tc>
          <w:tcPr>
            <w:tcW w:w="474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color w:val="auto"/>
                <w:kern w:val="2"/>
                <w:sz w:val="24"/>
                <w:szCs w:val="24"/>
                <w:lang w:val="en-US" w:eastAsia="zh-CN"/>
              </w:rPr>
              <w:t>有效期内的质量管理体系、环境管理体系、职业健康安全管理体系认证情况，每个得3分，最高得9分。提供证书扫描件及在全国认证认可信息公共服务平台上对证书的查询结果截图为证明材料。</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default"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9</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21" w:type="dxa"/>
            <w:vMerge w:val="continue"/>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rPr>
            </w:pPr>
          </w:p>
        </w:tc>
        <w:tc>
          <w:tcPr>
            <w:tcW w:w="1788"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施工组织设计（30分）</w:t>
            </w:r>
          </w:p>
        </w:tc>
        <w:tc>
          <w:tcPr>
            <w:tcW w:w="4742"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优：对项目总体认识全面、总体组织符合实际，总体设计符合规范，总体计划合理综合措施科学。施工工序安排结合工期及工程实际、科学合理；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中：对项目总体有基本认识，有一定的措施但个别部分不具体；施工工序安排较合理，符合规范要求；</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一般：对项目认识不足，表述不清晰，措施不具体；施工工序安排不合理。</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r>
              <w:rPr>
                <w:rFonts w:hint="eastAsia" w:ascii="宋体" w:hAnsi="宋体" w:eastAsia="宋体" w:cs="宋体"/>
                <w:b/>
                <w:bCs/>
                <w:color w:val="auto"/>
                <w:kern w:val="2"/>
                <w:sz w:val="24"/>
                <w:szCs w:val="24"/>
                <w:lang w:val="en-US" w:eastAsia="zh-CN"/>
              </w:rPr>
              <w:t>优得21-30分、良得11-20分、一般得1-10分，无提供不得分。</w:t>
            </w:r>
          </w:p>
        </w:tc>
        <w:tc>
          <w:tcPr>
            <w:tcW w:w="75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default" w:ascii="宋体" w:hAnsi="宋体" w:eastAsia="宋体" w:cs="宋体"/>
                <w:i w:val="0"/>
                <w:iCs w:val="0"/>
                <w:caps w:val="0"/>
                <w:color w:val="auto"/>
                <w:spacing w:val="0"/>
                <w:kern w:val="2"/>
                <w:sz w:val="24"/>
                <w:szCs w:val="24"/>
                <w:shd w:val="clear" w:color="auto" w:fill="FFFFFF"/>
                <w:lang w:val="en-US" w:eastAsia="zh-CN"/>
              </w:rPr>
            </w:pPr>
            <w:r>
              <w:rPr>
                <w:rFonts w:hint="eastAsia" w:ascii="宋体" w:hAnsi="宋体" w:eastAsia="宋体" w:cs="宋体"/>
                <w:i w:val="0"/>
                <w:iCs w:val="0"/>
                <w:caps w:val="0"/>
                <w:color w:val="auto"/>
                <w:spacing w:val="0"/>
                <w:kern w:val="2"/>
                <w:sz w:val="24"/>
                <w:szCs w:val="24"/>
                <w:shd w:val="clear" w:color="auto" w:fill="FFFFFF"/>
                <w:lang w:val="en-US" w:eastAsia="zh-CN"/>
              </w:rPr>
              <w:t>30</w:t>
            </w:r>
          </w:p>
        </w:tc>
        <w:tc>
          <w:tcPr>
            <w:tcW w:w="770" w:type="dxa"/>
            <w:noWrap w:val="0"/>
            <w:vAlign w:val="center"/>
          </w:tcPr>
          <w:p>
            <w:pPr>
              <w:keepNext w:val="0"/>
              <w:keepLines w:val="0"/>
              <w:pageBreakBefore w:val="0"/>
              <w:widowControl w:val="0"/>
              <w:kinsoku/>
              <w:wordWrap/>
              <w:overflowPunct/>
              <w:topLinePunct w:val="0"/>
              <w:bidi w:val="0"/>
              <w:adjustRightInd/>
              <w:snapToGrid/>
              <w:spacing w:line="240" w:lineRule="auto"/>
              <w:ind w:firstLine="0" w:firstLineChars="0"/>
              <w:jc w:val="both"/>
              <w:textAlignment w:val="auto"/>
              <w:rPr>
                <w:rFonts w:hint="eastAsia" w:ascii="宋体" w:hAnsi="宋体" w:eastAsia="宋体" w:cs="宋体"/>
                <w:i w:val="0"/>
                <w:iCs w:val="0"/>
                <w:caps w:val="0"/>
                <w:color w:val="auto"/>
                <w:spacing w:val="0"/>
                <w:kern w:val="2"/>
                <w:sz w:val="24"/>
                <w:szCs w:val="24"/>
                <w:shd w:val="clear" w:color="auto" w:fill="FFFFFF"/>
                <w:lang w:eastAsia="zh-CN"/>
              </w:rPr>
            </w:pPr>
          </w:p>
        </w:tc>
      </w:tr>
    </w:tbl>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ascii="宋体" w:hAnsi="宋体" w:eastAsia="宋体" w:cs="宋体"/>
          <w:kern w:val="2"/>
          <w:sz w:val="24"/>
          <w:szCs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MTkzYjA3MDY4Y2E1ZDNlZTA5N2IxNjFjMzg4ZTQifQ=="/>
  </w:docVars>
  <w:rsids>
    <w:rsidRoot w:val="556D147D"/>
    <w:rsid w:val="00031965"/>
    <w:rsid w:val="07CC09EB"/>
    <w:rsid w:val="07D478A0"/>
    <w:rsid w:val="0ACC485F"/>
    <w:rsid w:val="16595F00"/>
    <w:rsid w:val="16641ADC"/>
    <w:rsid w:val="17BE3694"/>
    <w:rsid w:val="2BFA7CFF"/>
    <w:rsid w:val="2CB966DB"/>
    <w:rsid w:val="2F674409"/>
    <w:rsid w:val="3D504B04"/>
    <w:rsid w:val="47F5592D"/>
    <w:rsid w:val="4AC779BE"/>
    <w:rsid w:val="516F7E9B"/>
    <w:rsid w:val="537E3B02"/>
    <w:rsid w:val="556D147D"/>
    <w:rsid w:val="59AA4777"/>
    <w:rsid w:val="5D5253AA"/>
    <w:rsid w:val="5E822A4A"/>
    <w:rsid w:val="641E6734"/>
    <w:rsid w:val="687F5BE1"/>
    <w:rsid w:val="6ACC0048"/>
    <w:rsid w:val="6BD91AE2"/>
    <w:rsid w:val="6E380052"/>
    <w:rsid w:val="74CA554B"/>
    <w:rsid w:val="76627727"/>
    <w:rsid w:val="77646BE8"/>
    <w:rsid w:val="78411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731</Words>
  <Characters>776</Characters>
  <Lines>0</Lines>
  <Paragraphs>0</Paragraphs>
  <TotalTime>7</TotalTime>
  <ScaleCrop>false</ScaleCrop>
  <LinksUpToDate>false</LinksUpToDate>
  <CharactersWithSpaces>776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2023-08-18T09:04:00Z</dcterms:created>
  <dc:creator>杨振鹏</dc:creator>
  <cp:lastModifiedBy>刘建</cp:lastModifiedBy>
  <dcterms:modified xsi:type="dcterms:W3CDTF">2024-08-05T11:01:54Z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7C365F822EA84C519E313CA842BE587A_13</vt:lpwstr>
  </property>
</Properties>
</file>